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8C" w:rsidRPr="00D07EC4" w:rsidRDefault="00AF358C" w:rsidP="00D07EC4">
      <w:pPr>
        <w:spacing w:after="0" w:line="240" w:lineRule="auto"/>
        <w:ind w:left="425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07EC4">
        <w:rPr>
          <w:rFonts w:ascii="Times New Roman" w:hAnsi="Times New Roman"/>
          <w:b/>
          <w:sz w:val="24"/>
          <w:szCs w:val="24"/>
          <w:lang w:val="en-US"/>
        </w:rPr>
        <w:t>«</w:t>
      </w:r>
      <w:r w:rsidR="00F97E89" w:rsidRPr="00D07EC4">
        <w:rPr>
          <w:rFonts w:ascii="Times New Roman" w:hAnsi="Times New Roman"/>
          <w:b/>
          <w:sz w:val="24"/>
          <w:szCs w:val="24"/>
          <w:lang w:val="en-US"/>
        </w:rPr>
        <w:t>APPROVE</w:t>
      </w:r>
      <w:r w:rsidRPr="00D07EC4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AF358C" w:rsidRPr="00F97E89" w:rsidRDefault="00F97E89" w:rsidP="00D07EC4">
      <w:pPr>
        <w:spacing w:after="0" w:line="240" w:lineRule="auto"/>
        <w:ind w:left="425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97E89">
        <w:rPr>
          <w:rFonts w:ascii="Times New Roman" w:hAnsi="Times New Roman"/>
          <w:b/>
          <w:sz w:val="24"/>
          <w:szCs w:val="24"/>
          <w:lang w:val="en-US"/>
        </w:rPr>
        <w:t>Head of the Department of Oto</w:t>
      </w:r>
      <w:r w:rsidR="00D07EC4">
        <w:rPr>
          <w:rFonts w:ascii="Times New Roman" w:hAnsi="Times New Roman"/>
          <w:b/>
          <w:sz w:val="24"/>
          <w:szCs w:val="24"/>
          <w:lang w:val="en-US"/>
        </w:rPr>
        <w:t>rhino</w:t>
      </w:r>
      <w:r w:rsidRPr="00F97E89">
        <w:rPr>
          <w:rFonts w:ascii="Times New Roman" w:hAnsi="Times New Roman"/>
          <w:b/>
          <w:sz w:val="24"/>
          <w:szCs w:val="24"/>
          <w:lang w:val="en-US"/>
        </w:rPr>
        <w:t xml:space="preserve">laryngology Professor </w:t>
      </w:r>
      <w:proofErr w:type="spellStart"/>
      <w:r w:rsidRPr="00F97E89">
        <w:rPr>
          <w:rFonts w:ascii="Times New Roman" w:hAnsi="Times New Roman"/>
          <w:b/>
          <w:sz w:val="24"/>
          <w:szCs w:val="24"/>
          <w:lang w:val="en-US"/>
        </w:rPr>
        <w:t>U.S.Khasanov</w:t>
      </w:r>
      <w:proofErr w:type="spellEnd"/>
    </w:p>
    <w:p w:rsidR="00AF358C" w:rsidRPr="00F97E89" w:rsidRDefault="00AF358C" w:rsidP="00D07EC4">
      <w:pPr>
        <w:spacing w:after="0" w:line="240" w:lineRule="auto"/>
        <w:ind w:left="425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97E89">
        <w:rPr>
          <w:rFonts w:ascii="Times New Roman" w:hAnsi="Times New Roman"/>
          <w:b/>
          <w:sz w:val="24"/>
          <w:szCs w:val="24"/>
          <w:lang w:val="en-US"/>
        </w:rPr>
        <w:t>______________</w:t>
      </w:r>
    </w:p>
    <w:p w:rsidR="00AF358C" w:rsidRPr="00F97E89" w:rsidRDefault="00AF358C" w:rsidP="00D07EC4">
      <w:pPr>
        <w:spacing w:after="0" w:line="240" w:lineRule="auto"/>
        <w:ind w:left="4253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F97E89">
        <w:rPr>
          <w:rFonts w:ascii="Times New Roman" w:hAnsi="Times New Roman"/>
          <w:b/>
          <w:sz w:val="24"/>
          <w:szCs w:val="24"/>
          <w:lang w:val="en-US"/>
        </w:rPr>
        <w:t>«        » ______ 202</w:t>
      </w:r>
      <w:r w:rsidR="002E7B62" w:rsidRPr="005E46FD">
        <w:rPr>
          <w:rFonts w:ascii="Times New Roman" w:hAnsi="Times New Roman"/>
          <w:b/>
          <w:sz w:val="24"/>
          <w:szCs w:val="24"/>
          <w:lang w:val="en-US"/>
        </w:rPr>
        <w:t>5</w:t>
      </w:r>
      <w:r w:rsidR="00D07EC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97E89">
        <w:rPr>
          <w:rFonts w:ascii="Times New Roman" w:hAnsi="Times New Roman"/>
          <w:b/>
          <w:sz w:val="24"/>
          <w:szCs w:val="24"/>
          <w:lang w:val="en-US"/>
        </w:rPr>
        <w:t>y</w:t>
      </w:r>
      <w:r w:rsidRPr="00F97E89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</w:p>
    <w:p w:rsidR="00AF358C" w:rsidRPr="00F97E89" w:rsidRDefault="00F97E89" w:rsidP="00F97E8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F97E89">
        <w:rPr>
          <w:rFonts w:ascii="Times New Roman" w:hAnsi="Times New Roman"/>
          <w:b/>
          <w:sz w:val="24"/>
          <w:szCs w:val="24"/>
          <w:lang w:val="en-US"/>
        </w:rPr>
        <w:t>CALENDAR-THEMATICAL PLAN</w:t>
      </w:r>
    </w:p>
    <w:p w:rsidR="00AF358C" w:rsidRPr="00F97E89" w:rsidRDefault="00F97E89" w:rsidP="00F97E89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Department</w:t>
      </w:r>
      <w:r w:rsidR="00AF358C" w:rsidRPr="00F97E89">
        <w:rPr>
          <w:rFonts w:ascii="Times New Roman" w:hAnsi="Times New Roman"/>
          <w:b/>
          <w:sz w:val="24"/>
          <w:szCs w:val="24"/>
          <w:lang w:val="uz-Cyrl-UZ"/>
        </w:rPr>
        <w:t xml:space="preserve">: </w:t>
      </w:r>
      <w:r w:rsidRPr="00F97E89">
        <w:rPr>
          <w:rFonts w:ascii="Times New Roman" w:hAnsi="Times New Roman"/>
          <w:sz w:val="24"/>
          <w:szCs w:val="24"/>
          <w:lang w:val="uz-Cyrl-UZ"/>
        </w:rPr>
        <w:t>Otorhinolaryngology</w:t>
      </w:r>
      <w:r w:rsidR="00AF358C" w:rsidRPr="00F97E89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Subject</w:t>
      </w:r>
      <w:r w:rsidR="00AF358C" w:rsidRPr="00F97E89">
        <w:rPr>
          <w:rFonts w:ascii="Times New Roman" w:hAnsi="Times New Roman"/>
          <w:b/>
          <w:sz w:val="24"/>
          <w:szCs w:val="24"/>
          <w:lang w:val="uz-Cyrl-UZ"/>
        </w:rPr>
        <w:t xml:space="preserve">: </w:t>
      </w:r>
      <w:r w:rsidRPr="00F97E89">
        <w:rPr>
          <w:rFonts w:ascii="Times New Roman" w:hAnsi="Times New Roman"/>
          <w:sz w:val="24"/>
          <w:szCs w:val="24"/>
          <w:lang w:val="uz-Cyrl-UZ"/>
        </w:rPr>
        <w:t>Otorhinolaryngology</w:t>
      </w:r>
      <w:r w:rsidR="00AF358C" w:rsidRPr="00F97E89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Faculty</w:t>
      </w:r>
      <w:r w:rsidR="00AF358C" w:rsidRPr="00F97E89">
        <w:rPr>
          <w:rFonts w:ascii="Times New Roman" w:hAnsi="Times New Roman"/>
          <w:b/>
          <w:sz w:val="24"/>
          <w:szCs w:val="24"/>
          <w:lang w:val="uz-Cyrl-UZ"/>
        </w:rPr>
        <w:t xml:space="preserve">: </w:t>
      </w:r>
      <w:r w:rsidRPr="00F97E89">
        <w:rPr>
          <w:rFonts w:ascii="Times New Roman" w:hAnsi="Times New Roman"/>
          <w:sz w:val="24"/>
          <w:szCs w:val="24"/>
          <w:lang w:val="en-US"/>
        </w:rPr>
        <w:t xml:space="preserve">international </w:t>
      </w:r>
      <w:r>
        <w:rPr>
          <w:rFonts w:ascii="Times New Roman" w:hAnsi="Times New Roman"/>
          <w:b/>
          <w:sz w:val="24"/>
          <w:szCs w:val="24"/>
          <w:lang w:val="en-US"/>
        </w:rPr>
        <w:t>Course</w:t>
      </w:r>
      <w:r w:rsidR="00AF358C" w:rsidRPr="00F97E89">
        <w:rPr>
          <w:rFonts w:ascii="Times New Roman" w:hAnsi="Times New Roman"/>
          <w:b/>
          <w:sz w:val="24"/>
          <w:szCs w:val="24"/>
          <w:lang w:val="uz-Cyrl-UZ"/>
        </w:rPr>
        <w:t>:</w:t>
      </w:r>
      <w:r w:rsidR="00D07EC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E46FD" w:rsidRPr="005E46FD">
        <w:rPr>
          <w:rFonts w:ascii="Times New Roman" w:hAnsi="Times New Roman"/>
          <w:sz w:val="24"/>
          <w:szCs w:val="24"/>
          <w:lang w:val="en-US"/>
        </w:rPr>
        <w:t>21/01-10</w:t>
      </w:r>
      <w:r w:rsidR="00D07EC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Semester</w:t>
      </w:r>
      <w:r w:rsidR="00AF358C" w:rsidRPr="00F97E89">
        <w:rPr>
          <w:rFonts w:ascii="Times New Roman" w:hAnsi="Times New Roman"/>
          <w:sz w:val="24"/>
          <w:szCs w:val="24"/>
          <w:lang w:val="uz-Cyrl-UZ"/>
        </w:rPr>
        <w:t xml:space="preserve"> – </w:t>
      </w:r>
      <w:r w:rsidR="00903DA9" w:rsidRPr="00F97E89">
        <w:rPr>
          <w:rFonts w:ascii="Times New Roman" w:hAnsi="Times New Roman"/>
          <w:sz w:val="24"/>
          <w:szCs w:val="24"/>
          <w:lang w:val="uz-Cyrl-UZ"/>
        </w:rPr>
        <w:t>IX-X</w:t>
      </w:r>
      <w:r w:rsidR="00AF358C" w:rsidRPr="00F97E89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F97E89">
        <w:rPr>
          <w:rFonts w:ascii="Times New Roman" w:hAnsi="Times New Roman"/>
          <w:b/>
          <w:sz w:val="24"/>
          <w:szCs w:val="24"/>
          <w:lang w:val="en-US"/>
        </w:rPr>
        <w:t xml:space="preserve">Hours of </w:t>
      </w:r>
      <w:r w:rsidR="002E7B62" w:rsidRPr="00F97E89">
        <w:rPr>
          <w:rFonts w:ascii="Times New Roman" w:hAnsi="Times New Roman"/>
          <w:b/>
          <w:sz w:val="24"/>
          <w:szCs w:val="24"/>
          <w:lang w:val="en-US"/>
        </w:rPr>
        <w:t xml:space="preserve">lectures and </w:t>
      </w:r>
      <w:r w:rsidRPr="00F97E89">
        <w:rPr>
          <w:rFonts w:ascii="Times New Roman" w:hAnsi="Times New Roman"/>
          <w:b/>
          <w:sz w:val="24"/>
          <w:szCs w:val="24"/>
          <w:lang w:val="en-US"/>
        </w:rPr>
        <w:t xml:space="preserve">classes </w:t>
      </w:r>
      <w:r w:rsidR="002E7B62" w:rsidRPr="002E7B62">
        <w:rPr>
          <w:rFonts w:ascii="Times New Roman" w:hAnsi="Times New Roman"/>
          <w:sz w:val="24"/>
          <w:szCs w:val="24"/>
          <w:lang w:val="en-US"/>
        </w:rPr>
        <w:t>75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="00AF358C" w:rsidRPr="00F97E89">
        <w:rPr>
          <w:rFonts w:ascii="Times New Roman" w:hAnsi="Times New Roman"/>
          <w:sz w:val="24"/>
          <w:szCs w:val="24"/>
          <w:lang w:val="uz-Cyrl-UZ"/>
        </w:rPr>
        <w:t>.</w:t>
      </w:r>
      <w:r w:rsidR="00AF358C" w:rsidRPr="00F97E89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lectures</w:t>
      </w:r>
      <w:r w:rsidR="00AF358C" w:rsidRPr="00F97E89">
        <w:rPr>
          <w:rFonts w:ascii="Times New Roman" w:hAnsi="Times New Roman"/>
          <w:b/>
          <w:sz w:val="24"/>
          <w:szCs w:val="24"/>
          <w:lang w:val="en-US"/>
        </w:rPr>
        <w:t>-</w:t>
      </w:r>
      <w:r w:rsidR="00AF358C" w:rsidRPr="00F97E89">
        <w:rPr>
          <w:rFonts w:ascii="Times New Roman" w:hAnsi="Times New Roman"/>
          <w:sz w:val="24"/>
          <w:szCs w:val="24"/>
          <w:lang w:val="uz-Cyrl-UZ"/>
        </w:rPr>
        <w:t>1</w:t>
      </w:r>
      <w:r w:rsidR="002E7B62">
        <w:rPr>
          <w:rFonts w:ascii="Times New Roman" w:hAnsi="Times New Roman"/>
          <w:sz w:val="24"/>
          <w:szCs w:val="24"/>
          <w:lang w:val="uz-Cyrl-UZ"/>
        </w:rPr>
        <w:t>0</w:t>
      </w:r>
      <w:r w:rsidR="002E7B62">
        <w:rPr>
          <w:rFonts w:ascii="Times New Roman" w:hAnsi="Times New Roman"/>
          <w:sz w:val="24"/>
          <w:szCs w:val="24"/>
          <w:lang w:val="en-US"/>
        </w:rPr>
        <w:t>h</w:t>
      </w:r>
      <w:r w:rsidR="002E7B62" w:rsidRPr="002E7B62">
        <w:rPr>
          <w:rFonts w:ascii="Times New Roman" w:hAnsi="Times New Roman"/>
          <w:sz w:val="24"/>
          <w:szCs w:val="24"/>
          <w:lang w:val="en-US"/>
        </w:rPr>
        <w:t>.</w:t>
      </w:r>
      <w:r w:rsidR="00AF358C" w:rsidRPr="00F97E89"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gramStart"/>
      <w:r w:rsidRPr="00F97E89">
        <w:rPr>
          <w:rFonts w:ascii="Times New Roman" w:hAnsi="Times New Roman"/>
          <w:b/>
          <w:i/>
          <w:sz w:val="24"/>
          <w:szCs w:val="24"/>
          <w:lang w:val="en-US"/>
        </w:rPr>
        <w:t>practical</w:t>
      </w:r>
      <w:proofErr w:type="gramEnd"/>
      <w:r w:rsidRPr="00F97E89">
        <w:rPr>
          <w:rFonts w:ascii="Times New Roman" w:hAnsi="Times New Roman"/>
          <w:b/>
          <w:i/>
          <w:sz w:val="24"/>
          <w:szCs w:val="24"/>
          <w:lang w:val="en-US"/>
        </w:rPr>
        <w:t xml:space="preserve"> exercises </w:t>
      </w:r>
      <w:r w:rsidR="00AF358C" w:rsidRPr="00F97E89">
        <w:rPr>
          <w:rFonts w:ascii="Times New Roman" w:hAnsi="Times New Roman"/>
          <w:sz w:val="24"/>
          <w:szCs w:val="24"/>
          <w:lang w:val="en-US"/>
        </w:rPr>
        <w:t>-</w:t>
      </w:r>
      <w:r w:rsidR="002E7B62">
        <w:rPr>
          <w:rFonts w:ascii="Times New Roman" w:hAnsi="Times New Roman"/>
          <w:sz w:val="24"/>
          <w:szCs w:val="24"/>
          <w:lang w:val="uz-Cyrl-UZ"/>
        </w:rPr>
        <w:t xml:space="preserve"> 65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="00AF358C" w:rsidRPr="00F97E89">
        <w:rPr>
          <w:rFonts w:ascii="Times New Roman" w:hAnsi="Times New Roman"/>
          <w:sz w:val="24"/>
          <w:szCs w:val="24"/>
          <w:lang w:val="uz-Cyrl-UZ"/>
        </w:rPr>
        <w:t>.</w:t>
      </w:r>
    </w:p>
    <w:p w:rsidR="00AF358C" w:rsidRDefault="00F97E89" w:rsidP="00F97E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Lectures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559"/>
      </w:tblGrid>
      <w:tr w:rsidR="00AF358C" w:rsidRPr="00F97E89" w:rsidTr="002E7B62">
        <w:trPr>
          <w:trHeight w:val="626"/>
        </w:trPr>
        <w:tc>
          <w:tcPr>
            <w:tcW w:w="567" w:type="dxa"/>
            <w:shd w:val="clear" w:color="auto" w:fill="auto"/>
            <w:vAlign w:val="center"/>
          </w:tcPr>
          <w:p w:rsidR="00AF358C" w:rsidRPr="00F97E89" w:rsidRDefault="00AF358C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F358C" w:rsidRPr="00F97E89" w:rsidRDefault="00F97E89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Topic</w:t>
            </w:r>
            <w:proofErr w:type="spellEnd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of</w:t>
            </w:r>
            <w:proofErr w:type="spellEnd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F358C" w:rsidRPr="00F97E89" w:rsidRDefault="00F97E89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Allotted</w:t>
            </w:r>
            <w:proofErr w:type="spellEnd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study</w:t>
            </w:r>
            <w:proofErr w:type="spellEnd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hours</w:t>
            </w:r>
            <w:proofErr w:type="spellEnd"/>
          </w:p>
        </w:tc>
      </w:tr>
      <w:tr w:rsidR="00F97E89" w:rsidRPr="00F97E89" w:rsidTr="00AF358C">
        <w:tc>
          <w:tcPr>
            <w:tcW w:w="567" w:type="dxa"/>
            <w:shd w:val="clear" w:color="auto" w:fill="auto"/>
          </w:tcPr>
          <w:p w:rsidR="00F97E89" w:rsidRPr="00F97E89" w:rsidRDefault="00F97E89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97E8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97E89" w:rsidRPr="00F97E89" w:rsidRDefault="00F97E89" w:rsidP="005D5B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Introduction. History of development, </w:t>
            </w: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prophylactic significance and main achievements of domestic otorhinolaryngology </w:t>
            </w: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Influence of pathology of ENT organs on the developme</w:t>
            </w:r>
            <w:bookmarkStart w:id="0" w:name="_GoBack"/>
            <w:bookmarkEnd w:id="0"/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nt of somatic diseases of internal organs. Acute and chronic diseases of the nose (complications, prevention).</w:t>
            </w:r>
            <w:r w:rsidR="002E7B62"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Acute and chronic diseases of the </w:t>
            </w:r>
            <w:proofErr w:type="spellStart"/>
            <w:r w:rsidR="002E7B62"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paranasal</w:t>
            </w:r>
            <w:proofErr w:type="spellEnd"/>
            <w:r w:rsidR="002E7B62"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sinuses (complications, prevention).</w:t>
            </w:r>
            <w:r w:rsidR="002E7B62" w:rsidRPr="005D5B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2E7B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2E7B62"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ntracranial complications</w:t>
            </w:r>
            <w:r w:rsidR="002E7B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97E89" w:rsidRPr="00F97E89" w:rsidRDefault="00F97E89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5D5B34" w:rsidRPr="005D5B34" w:rsidTr="00AF358C">
        <w:tc>
          <w:tcPr>
            <w:tcW w:w="567" w:type="dxa"/>
            <w:shd w:val="clear" w:color="auto" w:fill="auto"/>
          </w:tcPr>
          <w:p w:rsidR="005D5B34" w:rsidRPr="00F97E89" w:rsidRDefault="005D5B34" w:rsidP="00403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F97E8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5D5B34" w:rsidRPr="005D5B34" w:rsidRDefault="002E7B62" w:rsidP="005D5B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Acute </w:t>
            </w:r>
            <w:r w:rsidRPr="00F97E8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and </w:t>
            </w: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chronic inflammatory diseases of the external and middle ear (</w:t>
            </w: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etiology, pathogenesis, classification, diagnosis, treatment, complications and prevention). Features of the course and prevention of ear diseases in children. Labyrinths. </w:t>
            </w:r>
            <w:proofErr w:type="spellStart"/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Otogenic</w:t>
            </w:r>
            <w:proofErr w:type="spellEnd"/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intracranial complications (</w:t>
            </w:r>
            <w:proofErr w:type="spellStart"/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etiopathogenesis</w:t>
            </w:r>
            <w:proofErr w:type="spellEnd"/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clinic, diagnosis, treatment and prevention). Peculiarities of diagnostics and rehabilitation of hearing disorders in children.</w:t>
            </w:r>
          </w:p>
        </w:tc>
        <w:tc>
          <w:tcPr>
            <w:tcW w:w="1559" w:type="dxa"/>
            <w:shd w:val="clear" w:color="auto" w:fill="auto"/>
          </w:tcPr>
          <w:p w:rsidR="005D5B34" w:rsidRPr="00F97E89" w:rsidRDefault="005D5B34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5D5B34" w:rsidRPr="00F97E89" w:rsidTr="00AF358C">
        <w:tc>
          <w:tcPr>
            <w:tcW w:w="567" w:type="dxa"/>
            <w:shd w:val="clear" w:color="auto" w:fill="auto"/>
          </w:tcPr>
          <w:p w:rsidR="005D5B34" w:rsidRPr="00F97E89" w:rsidRDefault="005D5B34" w:rsidP="00403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5D5B34" w:rsidRPr="00F97E89" w:rsidRDefault="002E7B62" w:rsidP="005D5B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Non-purulent diseases of the ear (</w:t>
            </w: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etiology, pathogenesis, classification, clinic, diagnosis, treatment, prevention).</w:t>
            </w:r>
            <w:r w:rsidRPr="005D5B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Peculiarities of diagnostics of hearing disorders in children.</w:t>
            </w:r>
          </w:p>
        </w:tc>
        <w:tc>
          <w:tcPr>
            <w:tcW w:w="1559" w:type="dxa"/>
            <w:shd w:val="clear" w:color="auto" w:fill="auto"/>
          </w:tcPr>
          <w:p w:rsidR="005D5B34" w:rsidRPr="00F97E89" w:rsidRDefault="005D5B34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5D5B34" w:rsidRPr="00F97E89" w:rsidTr="00AF358C">
        <w:tc>
          <w:tcPr>
            <w:tcW w:w="567" w:type="dxa"/>
            <w:shd w:val="clear" w:color="auto" w:fill="auto"/>
          </w:tcPr>
          <w:p w:rsidR="005D5B34" w:rsidRPr="00F97E89" w:rsidRDefault="005D5B34" w:rsidP="009F5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5D5B34" w:rsidRPr="00F97E89" w:rsidRDefault="002E7B62" w:rsidP="005D5B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Acute and chronic diseases of the pharynx</w:t>
            </w: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Classification of angina, complications, treatment and prevention. Angina in infectious diseases and blood diseases. Chronic tonsillitis, adenoid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vegetations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hypertrophy of the palatine tonsils.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Throat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injuries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Obstructive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sleep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apnea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syndrome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(OSAS).</w:t>
            </w:r>
          </w:p>
        </w:tc>
        <w:tc>
          <w:tcPr>
            <w:tcW w:w="1559" w:type="dxa"/>
            <w:shd w:val="clear" w:color="auto" w:fill="auto"/>
          </w:tcPr>
          <w:p w:rsidR="005D5B34" w:rsidRPr="00F97E89" w:rsidRDefault="005D5B34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5D5B34" w:rsidRPr="005D5B34" w:rsidTr="00AF358C">
        <w:tc>
          <w:tcPr>
            <w:tcW w:w="567" w:type="dxa"/>
            <w:shd w:val="clear" w:color="auto" w:fill="auto"/>
          </w:tcPr>
          <w:p w:rsidR="005D5B34" w:rsidRPr="00F97E89" w:rsidRDefault="005D5B34" w:rsidP="009F5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5D5B34" w:rsidRPr="005D5B34" w:rsidRDefault="002E7B62" w:rsidP="005D5B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Acute and chronic diseases of the larynx</w:t>
            </w: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Stenosing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laryngotracheitis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children. Tracheotomy. Infectious granulomas of the upper respiratory tract. Wegener's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granulomatosis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ENT lesions in AIDS.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Benign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malignant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tumors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ENT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organs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D5B34" w:rsidRPr="00F97E89" w:rsidRDefault="005D5B34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5D5B34" w:rsidRPr="00F97E89" w:rsidTr="00AF358C">
        <w:tc>
          <w:tcPr>
            <w:tcW w:w="567" w:type="dxa"/>
            <w:shd w:val="clear" w:color="auto" w:fill="auto"/>
          </w:tcPr>
          <w:p w:rsidR="005D5B34" w:rsidRPr="00F97E89" w:rsidRDefault="005D5B34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7513" w:type="dxa"/>
            <w:shd w:val="clear" w:color="auto" w:fill="auto"/>
          </w:tcPr>
          <w:p w:rsidR="005D5B34" w:rsidRPr="00F97E89" w:rsidRDefault="005D5B34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D5B34" w:rsidRPr="00F97E89" w:rsidRDefault="005D5B34" w:rsidP="002E7B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</w:t>
            </w:r>
            <w:r w:rsidR="002E7B6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0</w:t>
            </w:r>
          </w:p>
        </w:tc>
      </w:tr>
    </w:tbl>
    <w:p w:rsidR="00C41337" w:rsidRDefault="00F97E89" w:rsidP="00F97E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E89">
        <w:rPr>
          <w:rFonts w:ascii="Times New Roman" w:hAnsi="Times New Roman"/>
          <w:b/>
          <w:sz w:val="24"/>
          <w:szCs w:val="24"/>
          <w:lang w:val="en-US"/>
        </w:rPr>
        <w:t>Practical exercises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992"/>
      </w:tblGrid>
      <w:tr w:rsidR="00C41337" w:rsidRPr="00F97E89" w:rsidTr="00C41337">
        <w:tc>
          <w:tcPr>
            <w:tcW w:w="567" w:type="dxa"/>
            <w:vMerge w:val="restart"/>
            <w:shd w:val="clear" w:color="auto" w:fill="auto"/>
            <w:vAlign w:val="center"/>
          </w:tcPr>
          <w:p w:rsidR="00C41337" w:rsidRPr="00F97E89" w:rsidRDefault="00C41337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41337" w:rsidRPr="00F97E89" w:rsidRDefault="00F97E89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Topic</w:t>
            </w:r>
            <w:proofErr w:type="spellEnd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of</w:t>
            </w:r>
            <w:proofErr w:type="spellEnd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practical</w:t>
            </w:r>
            <w:proofErr w:type="spellEnd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41337" w:rsidRPr="00F97E89" w:rsidRDefault="00F97E89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Hours</w:t>
            </w:r>
            <w:proofErr w:type="spellEnd"/>
          </w:p>
        </w:tc>
      </w:tr>
      <w:tr w:rsidR="00C41337" w:rsidRPr="00F97E89" w:rsidTr="00BD1E50">
        <w:tc>
          <w:tcPr>
            <w:tcW w:w="567" w:type="dxa"/>
            <w:vMerge/>
            <w:shd w:val="clear" w:color="auto" w:fill="auto"/>
            <w:vAlign w:val="center"/>
          </w:tcPr>
          <w:p w:rsidR="00C41337" w:rsidRPr="00F97E89" w:rsidRDefault="00C41337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C41337" w:rsidRPr="00F97E89" w:rsidRDefault="00C41337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1337" w:rsidRPr="00F97E89" w:rsidRDefault="00F97E89" w:rsidP="00F97E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Theoretical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41337" w:rsidRPr="00F97E89" w:rsidRDefault="00F97E89" w:rsidP="00F97E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E89">
              <w:rPr>
                <w:rFonts w:ascii="Times New Roman" w:hAnsi="Times New Roman"/>
                <w:b/>
                <w:i/>
                <w:sz w:val="24"/>
                <w:szCs w:val="24"/>
              </w:rPr>
              <w:t>practically</w:t>
            </w:r>
            <w:proofErr w:type="spellEnd"/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both"/>
              <w:rPr>
                <w:rStyle w:val="FontStyle37"/>
                <w:sz w:val="24"/>
                <w:szCs w:val="24"/>
                <w:lang w:val="en-US"/>
              </w:rPr>
            </w:pPr>
            <w:r w:rsidRPr="00F97E89">
              <w:rPr>
                <w:rStyle w:val="FontStyle37"/>
                <w:sz w:val="24"/>
                <w:szCs w:val="24"/>
                <w:lang w:val="en-US"/>
              </w:rPr>
              <w:t xml:space="preserve">Clinical anatomy of the nose, </w:t>
            </w:r>
            <w:proofErr w:type="spellStart"/>
            <w:r w:rsidRPr="00F97E89">
              <w:rPr>
                <w:rStyle w:val="FontStyle37"/>
                <w:sz w:val="24"/>
                <w:szCs w:val="24"/>
                <w:lang w:val="en-US"/>
              </w:rPr>
              <w:t>paranasal</w:t>
            </w:r>
            <w:proofErr w:type="spellEnd"/>
            <w:r w:rsidRPr="00F97E89">
              <w:rPr>
                <w:rStyle w:val="FontStyle37"/>
                <w:sz w:val="24"/>
                <w:szCs w:val="24"/>
                <w:lang w:val="en-US"/>
              </w:rPr>
              <w:t xml:space="preserve"> sinuses, Physiological role of the upper respiratory tract. </w:t>
            </w:r>
            <w:proofErr w:type="spellStart"/>
            <w:r w:rsidRPr="00F97E89">
              <w:rPr>
                <w:rStyle w:val="FontStyle37"/>
                <w:sz w:val="24"/>
                <w:szCs w:val="24"/>
                <w:lang w:val="en-US"/>
              </w:rPr>
              <w:t>Mucociliary</w:t>
            </w:r>
            <w:proofErr w:type="spellEnd"/>
            <w:r w:rsidRPr="00F97E89">
              <w:rPr>
                <w:rStyle w:val="FontStyle37"/>
                <w:sz w:val="24"/>
                <w:szCs w:val="24"/>
                <w:lang w:val="en-US"/>
              </w:rPr>
              <w:t xml:space="preserve"> transport. Methods of examination of the nose and </w:t>
            </w:r>
            <w:proofErr w:type="spellStart"/>
            <w:r w:rsidRPr="00F97E89">
              <w:rPr>
                <w:rStyle w:val="FontStyle37"/>
                <w:sz w:val="24"/>
                <w:szCs w:val="24"/>
                <w:lang w:val="en-US"/>
              </w:rPr>
              <w:t>paranasal</w:t>
            </w:r>
            <w:proofErr w:type="spellEnd"/>
            <w:r w:rsidRPr="00F97E89">
              <w:rPr>
                <w:rStyle w:val="FontStyle37"/>
                <w:sz w:val="24"/>
                <w:szCs w:val="24"/>
                <w:lang w:val="en-US"/>
              </w:rPr>
              <w:t xml:space="preserve"> sinuses.</w:t>
            </w:r>
          </w:p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Rhinoscopy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89">
              <w:rPr>
                <w:rStyle w:val="FontStyle37"/>
                <w:sz w:val="24"/>
                <w:szCs w:val="24"/>
                <w:lang w:val="en-US"/>
              </w:rPr>
              <w:t xml:space="preserve">Clinical anatomy of the pharynx.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Morpho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-physiological characteristics of the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lymphadenoid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pharyngeal ring. Age features of the structure and topography of the ENT organs and their significance in the pathology of the ENT organs.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Endoscopic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pharynx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7B62" w:rsidRPr="00F97E89" w:rsidRDefault="002E7B62" w:rsidP="00F97E89">
            <w:pPr>
              <w:spacing w:after="0" w:line="240" w:lineRule="auto"/>
              <w:jc w:val="both"/>
              <w:rPr>
                <w:rStyle w:val="FontStyle37"/>
                <w:sz w:val="24"/>
                <w:szCs w:val="24"/>
              </w:rPr>
            </w:pPr>
            <w:r w:rsidRPr="00F97E8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Farinoscopy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Clinical anatomy, physiology and research methods of the larynx, trachea, bronchi and esophagus. Theories of voice formation, stages of </w:t>
            </w: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formation of the voice of children and adolescents.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vocal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apparatus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8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Laryngoscopy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Clinical anatomy, physiology and methods of ear research. Features of the anatomical structure of the ear in children.</w:t>
            </w:r>
          </w:p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8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Otoscopy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2E7B62" w:rsidRPr="002E7B62" w:rsidTr="00BD1E50">
        <w:tc>
          <w:tcPr>
            <w:tcW w:w="567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2E7B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Physiology and research methods of the auditory analyzer. Modern methods of diagnosing hearing loss and deafness in adults and young children. The concept of cochlear implantation</w:t>
            </w:r>
            <w:r w:rsidRPr="002E7B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F97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Clinical anatomy, physiology and methods for studying vestibular function. 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2E7B62" w:rsidRPr="002E7B62" w:rsidTr="00BD1E50">
        <w:tc>
          <w:tcPr>
            <w:tcW w:w="567" w:type="dxa"/>
            <w:shd w:val="clear" w:color="auto" w:fill="auto"/>
          </w:tcPr>
          <w:p w:rsidR="002E7B62" w:rsidRPr="002E7B62" w:rsidRDefault="002E7B62" w:rsidP="007D2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7B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2E7B62" w:rsidRPr="002E7B62" w:rsidRDefault="002E7B62" w:rsidP="002E7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Acute and chronic diseases of the nose. The role of allergy in the etiology of these diseases. </w:t>
            </w:r>
            <w:r w:rsidRPr="002E7B62">
              <w:rPr>
                <w:rFonts w:ascii="Times New Roman" w:hAnsi="Times New Roman"/>
                <w:sz w:val="24"/>
                <w:szCs w:val="24"/>
                <w:lang w:val="en-US"/>
              </w:rPr>
              <w:t>Nose injury. Nosebleeds, methods of stopping.</w:t>
            </w: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Acute and chronic diseases of the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paranasal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sinuses. </w:t>
            </w:r>
            <w:proofErr w:type="gram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classification</w:t>
            </w:r>
            <w:proofErr w:type="gram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sinusitis. </w:t>
            </w:r>
            <w:r w:rsidRPr="005565DE">
              <w:rPr>
                <w:rFonts w:ascii="Times New Roman" w:hAnsi="Times New Roman"/>
                <w:sz w:val="24"/>
                <w:szCs w:val="24"/>
                <w:lang w:val="en-US"/>
              </w:rPr>
              <w:t>Principles of conservative and surgical treatment.</w:t>
            </w:r>
          </w:p>
          <w:p w:rsidR="002E7B62" w:rsidRPr="00F97E89" w:rsidRDefault="002E7B62" w:rsidP="002E7B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Anterior tamponade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2E7B62" w:rsidRDefault="002E7B62" w:rsidP="007D2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7B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E89">
              <w:rPr>
                <w:rStyle w:val="FontStyle37"/>
                <w:rFonts w:eastAsia="Calibri"/>
                <w:sz w:val="24"/>
                <w:szCs w:val="24"/>
                <w:lang w:val="en-US"/>
              </w:rPr>
              <w:t>Rhinogenic</w:t>
            </w:r>
            <w:proofErr w:type="spellEnd"/>
            <w:r w:rsidRPr="00F97E89">
              <w:rPr>
                <w:rStyle w:val="FontStyle37"/>
                <w:rFonts w:eastAsia="Calibri"/>
                <w:sz w:val="24"/>
                <w:szCs w:val="24"/>
                <w:lang w:val="en-US"/>
              </w:rPr>
              <w:t xml:space="preserve"> (orbital and intracranial) complications. </w:t>
            </w: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Injuries of the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paranasal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sinuses.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conservative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surgical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treatment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</w:rPr>
              <w:t>Prevention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7D2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2E7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Acute inflammatory diseases of the outer and middle ear and their complications. Features of the course of otitis in children,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anthritis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mastoiditis</w:t>
            </w:r>
            <w:proofErr w:type="spellEnd"/>
            <w:proofErr w:type="gram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Chronic inflammatory diseases of the middle ear.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Labrinthitis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Otogenic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intracranial complications and </w:t>
            </w: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otogenic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sepsis: dif. diagnostics, clinic, methods of surgical treatment.</w:t>
            </w:r>
          </w:p>
          <w:p w:rsidR="002E7B62" w:rsidRPr="005565DE" w:rsidRDefault="002E7B62" w:rsidP="002E7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Ear wash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7D2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2E7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Nonpurulent</w:t>
            </w:r>
            <w:proofErr w:type="spellEnd"/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diseases of the ear. Audiology. Professional selection and expertise in otorhinolaryngology.</w:t>
            </w:r>
          </w:p>
          <w:p w:rsidR="002E7B62" w:rsidRPr="005E46FD" w:rsidRDefault="002E7B62" w:rsidP="002E7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Definition of hearing loss (whispered and spoken language)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7D2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7088" w:type="dxa"/>
            <w:shd w:val="clear" w:color="auto" w:fill="auto"/>
          </w:tcPr>
          <w:p w:rsidR="002E7B62" w:rsidRPr="005E46FD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Acute diseases of the pharynx and their complications. Angina in infectious diseases and diseases of the hematopoietic system. Retropharyngeal abscess. Hypertrophy of the palatine and pharyngeal tonsils, symptoms and treatment.</w:t>
            </w:r>
            <w:r w:rsidRPr="00F97E89">
              <w:rPr>
                <w:lang w:val="en-US"/>
              </w:rPr>
              <w:t xml:space="preserve"> </w:t>
            </w:r>
            <w:r w:rsidRPr="002E7B62">
              <w:rPr>
                <w:rFonts w:ascii="Times New Roman" w:hAnsi="Times New Roman"/>
                <w:sz w:val="24"/>
                <w:szCs w:val="24"/>
                <w:lang w:val="en-US"/>
              </w:rPr>
              <w:t>Chronic tonsillitis, classification, significance in the pathogenesis of diseases of internal organs, diagnosis and treatment. Clinical examination of patients with chronic tonsillitis. Presentation of independent work of students.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7D2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Acute diseases of the larynx. Acute </w:t>
            </w:r>
            <w:proofErr w:type="spellStart"/>
            <w:r w:rsidRPr="002E7B62">
              <w:rPr>
                <w:rFonts w:ascii="Times New Roman" w:hAnsi="Times New Roman"/>
                <w:sz w:val="24"/>
                <w:szCs w:val="24"/>
                <w:lang w:val="en-US"/>
              </w:rPr>
              <w:t>stenoses</w:t>
            </w:r>
            <w:proofErr w:type="spellEnd"/>
            <w:r w:rsidRPr="002E7B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the larynx. Voice disorders, professional dysphonia. Presentation of independent work of students. Chronic diseases of the larynx. Chronic </w:t>
            </w:r>
            <w:proofErr w:type="spellStart"/>
            <w:r w:rsidRPr="002E7B62">
              <w:rPr>
                <w:rFonts w:ascii="Times New Roman" w:hAnsi="Times New Roman"/>
                <w:sz w:val="24"/>
                <w:szCs w:val="24"/>
                <w:lang w:val="en-US"/>
              </w:rPr>
              <w:t>stenoses</w:t>
            </w:r>
            <w:proofErr w:type="spellEnd"/>
            <w:r w:rsidRPr="002E7B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the larynx. Voice disorders, professional dysphonia.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100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>Foreign bodies of ENT organs. Injuries, bleeding from the ENT organs and emergency care for them. Tracheotomy.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2E7B62" w:rsidRPr="00F97E89" w:rsidTr="00BD1E50">
        <w:tc>
          <w:tcPr>
            <w:tcW w:w="567" w:type="dxa"/>
            <w:shd w:val="clear" w:color="auto" w:fill="auto"/>
          </w:tcPr>
          <w:p w:rsidR="002E7B62" w:rsidRPr="00F97E89" w:rsidRDefault="002E7B62" w:rsidP="00100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E89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7088" w:type="dxa"/>
            <w:shd w:val="clear" w:color="auto" w:fill="auto"/>
          </w:tcPr>
          <w:p w:rsidR="002E7B62" w:rsidRPr="00F97E89" w:rsidRDefault="002E7B62" w:rsidP="00F9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E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Benign and malignant tumors of ENT organs. Infectious granulomas of the upper respiratory tract. The state of the ENT - organs in HIV infection. </w:t>
            </w:r>
            <w:r w:rsidRPr="00F97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OSKE.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E7B62" w:rsidRPr="003C3699" w:rsidRDefault="002E7B62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746648" w:rsidRPr="00F97E89" w:rsidTr="00BD1E50">
        <w:tc>
          <w:tcPr>
            <w:tcW w:w="567" w:type="dxa"/>
            <w:shd w:val="clear" w:color="auto" w:fill="auto"/>
          </w:tcPr>
          <w:p w:rsidR="00746648" w:rsidRPr="00F97E89" w:rsidRDefault="00746648" w:rsidP="00F9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6648" w:rsidRPr="00F97E89" w:rsidRDefault="00746648" w:rsidP="002E7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="002E7B62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– 65</w:t>
            </w:r>
            <w:r w:rsidRPr="00F97E8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hours</w:t>
            </w:r>
          </w:p>
        </w:tc>
        <w:tc>
          <w:tcPr>
            <w:tcW w:w="992" w:type="dxa"/>
            <w:shd w:val="clear" w:color="auto" w:fill="auto"/>
          </w:tcPr>
          <w:p w:rsidR="00746648" w:rsidRPr="00AC7A14" w:rsidRDefault="002E7B62" w:rsidP="00B65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746648" w:rsidRPr="00AC7A14" w:rsidRDefault="002E7B62" w:rsidP="00B65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30</w:t>
            </w:r>
          </w:p>
        </w:tc>
      </w:tr>
    </w:tbl>
    <w:p w:rsidR="00F04B37" w:rsidRPr="00F97E89" w:rsidRDefault="00F04B37" w:rsidP="00F97E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337" w:rsidRPr="00F97E89" w:rsidRDefault="00F97E89" w:rsidP="00F97E8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97E89">
        <w:rPr>
          <w:rFonts w:ascii="Times New Roman" w:hAnsi="Times New Roman"/>
          <w:b/>
          <w:sz w:val="24"/>
          <w:szCs w:val="24"/>
          <w:lang w:val="en-US"/>
        </w:rPr>
        <w:t>Responsible for academic work</w:t>
      </w:r>
      <w:r w:rsidR="00C41337" w:rsidRPr="00F97E89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C41337" w:rsidRPr="00F97E89">
        <w:rPr>
          <w:rFonts w:ascii="Times New Roman" w:hAnsi="Times New Roman"/>
          <w:b/>
          <w:sz w:val="24"/>
          <w:szCs w:val="24"/>
          <w:lang w:val="en-US"/>
        </w:rPr>
        <w:tab/>
      </w:r>
      <w:r w:rsidR="00C41337" w:rsidRPr="00F97E89">
        <w:rPr>
          <w:rFonts w:ascii="Times New Roman" w:hAnsi="Times New Roman"/>
          <w:b/>
          <w:sz w:val="24"/>
          <w:szCs w:val="24"/>
          <w:lang w:val="en-US"/>
        </w:rPr>
        <w:tab/>
      </w:r>
      <w:r w:rsidR="00C41337" w:rsidRPr="00F97E89">
        <w:rPr>
          <w:rFonts w:ascii="Times New Roman" w:hAnsi="Times New Roman"/>
          <w:b/>
          <w:sz w:val="24"/>
          <w:szCs w:val="24"/>
          <w:lang w:val="en-US"/>
        </w:rPr>
        <w:tab/>
      </w:r>
      <w:r w:rsidR="00C41337" w:rsidRPr="00F97E89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F97E89">
        <w:rPr>
          <w:rFonts w:ascii="Times New Roman" w:hAnsi="Times New Roman"/>
          <w:b/>
          <w:sz w:val="24"/>
          <w:szCs w:val="24"/>
          <w:lang w:val="en-US"/>
        </w:rPr>
        <w:t>N.A.Akhund</w:t>
      </w:r>
      <w:r>
        <w:rPr>
          <w:rFonts w:ascii="Times New Roman" w:hAnsi="Times New Roman"/>
          <w:b/>
          <w:sz w:val="24"/>
          <w:szCs w:val="24"/>
          <w:lang w:val="en-US"/>
        </w:rPr>
        <w:t>j</w:t>
      </w:r>
      <w:r w:rsidRPr="00F97E89">
        <w:rPr>
          <w:rFonts w:ascii="Times New Roman" w:hAnsi="Times New Roman"/>
          <w:b/>
          <w:sz w:val="24"/>
          <w:szCs w:val="24"/>
          <w:lang w:val="en-US"/>
        </w:rPr>
        <w:t>anov</w:t>
      </w:r>
      <w:proofErr w:type="spellEnd"/>
    </w:p>
    <w:sectPr w:rsidR="00C41337" w:rsidRPr="00F97E89" w:rsidSect="00AF35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5EA"/>
    <w:rsid w:val="002E7B62"/>
    <w:rsid w:val="005015B5"/>
    <w:rsid w:val="005565DE"/>
    <w:rsid w:val="005823EF"/>
    <w:rsid w:val="005D5B34"/>
    <w:rsid w:val="005E46FD"/>
    <w:rsid w:val="006F667D"/>
    <w:rsid w:val="00746648"/>
    <w:rsid w:val="00903DA9"/>
    <w:rsid w:val="00903FC8"/>
    <w:rsid w:val="00AC7A14"/>
    <w:rsid w:val="00AF358C"/>
    <w:rsid w:val="00BD1E50"/>
    <w:rsid w:val="00C41337"/>
    <w:rsid w:val="00CD3A0E"/>
    <w:rsid w:val="00D07EC4"/>
    <w:rsid w:val="00D115EA"/>
    <w:rsid w:val="00E52615"/>
    <w:rsid w:val="00E77D11"/>
    <w:rsid w:val="00F04B37"/>
    <w:rsid w:val="00F97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C41337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C41337"/>
    <w:pPr>
      <w:widowControl w:val="0"/>
      <w:autoSpaceDE w:val="0"/>
      <w:autoSpaceDN w:val="0"/>
      <w:adjustRightInd w:val="0"/>
      <w:spacing w:after="0" w:line="413" w:lineRule="exact"/>
      <w:ind w:hanging="365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C41337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C41337"/>
    <w:pPr>
      <w:widowControl w:val="0"/>
      <w:autoSpaceDE w:val="0"/>
      <w:autoSpaceDN w:val="0"/>
      <w:adjustRightInd w:val="0"/>
      <w:spacing w:after="0" w:line="413" w:lineRule="exact"/>
      <w:ind w:hanging="365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20</cp:revision>
  <dcterms:created xsi:type="dcterms:W3CDTF">2021-08-24T08:22:00Z</dcterms:created>
  <dcterms:modified xsi:type="dcterms:W3CDTF">2025-08-28T17:05:00Z</dcterms:modified>
</cp:coreProperties>
</file>